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7C3" w14:textId="77777777" w:rsidR="00DB7126" w:rsidRDefault="00DB7126" w:rsidP="00613C2D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3BF23676" w14:textId="7B9E498A" w:rsidR="00B3247B" w:rsidRPr="00B3247B" w:rsidRDefault="00B3247B" w:rsidP="00B324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LETTER OF MEDICAL NECESSITY FOR </w:t>
      </w:r>
      <w:r w:rsidRPr="00B3247B">
        <w:rPr>
          <w:rFonts w:ascii="Cambria" w:eastAsia="Times New Roman" w:hAnsi="Cambria" w:cs="Segoe UI"/>
        </w:rPr>
        <w:t> </w:t>
      </w:r>
    </w:p>
    <w:p w14:paraId="562021AF" w14:textId="77777777" w:rsidR="00B3247B" w:rsidRPr="00B3247B" w:rsidRDefault="00B3247B" w:rsidP="00B324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FAMILIAL CHYLOMICRONEMIA GENETIC TESTING </w:t>
      </w:r>
      <w:r w:rsidRPr="00B3247B">
        <w:rPr>
          <w:rFonts w:ascii="Cambria" w:eastAsia="Times New Roman" w:hAnsi="Cambria" w:cs="Segoe UI"/>
        </w:rPr>
        <w:t> </w:t>
      </w:r>
    </w:p>
    <w:p w14:paraId="2D467CA8" w14:textId="77777777" w:rsid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</w:p>
    <w:p w14:paraId="29B92818" w14:textId="0429118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Date: </w:t>
      </w:r>
      <w:r>
        <w:rPr>
          <w:rFonts w:ascii="Cambria" w:eastAsia="Times New Roman" w:hAnsi="Cambria" w:cs="Segoe UI"/>
        </w:rPr>
        <w:tab/>
      </w:r>
      <w:r w:rsidRPr="00B3247B">
        <w:rPr>
          <w:rFonts w:ascii="Cambria" w:eastAsia="Times New Roman" w:hAnsi="Cambria" w:cs="Segoe UI"/>
          <w:color w:val="00B0F0"/>
        </w:rPr>
        <w:t>Date of Service/claim</w:t>
      </w:r>
      <w:r w:rsidRPr="00B3247B">
        <w:rPr>
          <w:rFonts w:ascii="Cambria" w:eastAsia="Times New Roman" w:hAnsi="Cambria" w:cs="Segoe UI"/>
        </w:rPr>
        <w:t>  </w:t>
      </w:r>
    </w:p>
    <w:p w14:paraId="3F43DB50" w14:textId="77777777" w:rsidR="00B3247B" w:rsidRPr="00B3247B" w:rsidRDefault="00B3247B" w:rsidP="00B3247B">
      <w:pPr>
        <w:spacing w:after="0" w:line="240" w:lineRule="auto"/>
        <w:ind w:left="576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 </w:t>
      </w:r>
    </w:p>
    <w:p w14:paraId="2941678D" w14:textId="36920903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To:</w:t>
      </w:r>
      <w:r w:rsidRPr="00B3247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B3247B">
        <w:rPr>
          <w:rFonts w:ascii="Cambria" w:eastAsia="Times New Roman" w:hAnsi="Cambria" w:cs="Segoe UI"/>
        </w:rPr>
        <w:t>Utilization Review Department  </w:t>
      </w:r>
    </w:p>
    <w:p w14:paraId="4D2E5DBF" w14:textId="77777777" w:rsidR="00B3247B" w:rsidRPr="00B3247B" w:rsidRDefault="00B3247B" w:rsidP="00B3247B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>Insurance Company Name, Address, City, State </w:t>
      </w:r>
    </w:p>
    <w:p w14:paraId="06CF33D8" w14:textId="77777777" w:rsidR="00B3247B" w:rsidRPr="00B3247B" w:rsidRDefault="00B3247B" w:rsidP="00B3247B">
      <w:pPr>
        <w:spacing w:after="0" w:line="240" w:lineRule="auto"/>
        <w:ind w:firstLine="3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56049592" w14:textId="1B708EEF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Re:</w:t>
      </w:r>
      <w:r w:rsidRPr="00B3247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B3247B">
        <w:rPr>
          <w:rFonts w:ascii="Cambria" w:eastAsia="Times New Roman" w:hAnsi="Cambria" w:cs="Segoe UI"/>
          <w:color w:val="00B0F0"/>
        </w:rPr>
        <w:t>Patient Name, DOB, ID # </w:t>
      </w:r>
    </w:p>
    <w:p w14:paraId="08EAF369" w14:textId="77777777" w:rsidR="00B3247B" w:rsidRPr="00B3247B" w:rsidRDefault="00B3247B" w:rsidP="00B3247B">
      <w:pPr>
        <w:spacing w:after="0" w:line="240" w:lineRule="auto"/>
        <w:ind w:firstLine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> </w:t>
      </w:r>
    </w:p>
    <w:p w14:paraId="58FFD46F" w14:textId="77777777" w:rsidR="00DB7126" w:rsidRPr="003014B1" w:rsidRDefault="00DB7126" w:rsidP="00DB712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4B4B63">
        <w:rPr>
          <w:rFonts w:ascii="Cambria" w:hAnsi="Cambria" w:cstheme="majorHAnsi"/>
          <w:color w:val="00AFEF"/>
          <w:sz w:val="22"/>
          <w:szCs w:val="22"/>
        </w:rPr>
        <w:t>Commonly Used ICD-10</w:t>
      </w:r>
      <w:r w:rsidRPr="004B4B63">
        <w:rPr>
          <w:rFonts w:ascii="Cambria" w:hAnsi="Cambria" w:cstheme="majorHAnsi"/>
          <w:color w:val="00AFEF"/>
          <w:spacing w:val="-11"/>
          <w:sz w:val="22"/>
          <w:szCs w:val="22"/>
        </w:rPr>
        <w:t xml:space="preserve"> </w:t>
      </w:r>
      <w:r w:rsidRPr="004B4B63">
        <w:rPr>
          <w:rFonts w:ascii="Cambria" w:hAnsi="Cambria" w:cstheme="majorHAnsi"/>
          <w:color w:val="00AFEF"/>
          <w:sz w:val="22"/>
          <w:szCs w:val="22"/>
        </w:rPr>
        <w:t>Codes:</w:t>
      </w:r>
      <w:r w:rsidRPr="003014B1">
        <w:rPr>
          <w:color w:val="00AFEF"/>
          <w:spacing w:val="-11"/>
          <w:sz w:val="22"/>
          <w:szCs w:val="22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(Quick</w:t>
      </w:r>
      <w:r w:rsidRPr="003014B1">
        <w:rPr>
          <w:rFonts w:asciiTheme="minorHAnsi" w:hAnsiTheme="minorHAnsi" w:cstheme="minorHAnsi"/>
          <w:color w:val="00AFEF"/>
          <w:spacing w:val="-9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reference</w:t>
      </w:r>
      <w:r w:rsidRPr="003014B1">
        <w:rPr>
          <w:rFonts w:asciiTheme="minorHAnsi" w:hAnsiTheme="minorHAnsi" w:cstheme="minorHAnsi"/>
          <w:color w:val="00AFEF"/>
          <w:spacing w:val="-8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guide – provider is responsible for selecting most appropriate code(s) based on individual assessment of the patient)</w:t>
      </w:r>
      <w:r w:rsidRPr="003014B1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</w:p>
    <w:p w14:paraId="57C93012" w14:textId="5C460BA9" w:rsidR="00B3247B" w:rsidRDefault="00B3247B" w:rsidP="00B3247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18"/>
          <w:szCs w:val="18"/>
        </w:rPr>
      </w:pPr>
    </w:p>
    <w:p w14:paraId="063A4C88" w14:textId="0B6AF9BB" w:rsidR="00B3247B" w:rsidRPr="00B3247B" w:rsidRDefault="00B3247B" w:rsidP="00B3247B">
      <w:pPr>
        <w:spacing w:after="0" w:line="240" w:lineRule="auto"/>
        <w:ind w:left="720"/>
        <w:textAlignment w:val="baseline"/>
        <w:rPr>
          <w:rFonts w:ascii="Cambria" w:eastAsia="Times New Roman" w:hAnsi="Cambria" w:cs="Calibri"/>
          <w:color w:val="00B0F0"/>
          <w:sz w:val="18"/>
          <w:szCs w:val="18"/>
        </w:rPr>
      </w:pPr>
      <w:r w:rsidRPr="00B3247B">
        <w:rPr>
          <w:rFonts w:ascii="Cambria" w:eastAsia="Times New Roman" w:hAnsi="Cambria" w:cs="Calibri"/>
          <w:color w:val="00B0F0"/>
          <w:sz w:val="18"/>
          <w:szCs w:val="18"/>
        </w:rPr>
        <w:t>Code</w:t>
      </w:r>
      <w:r w:rsidRPr="00B3247B">
        <w:rPr>
          <w:rFonts w:ascii="Cambria" w:eastAsia="Times New Roman" w:hAnsi="Cambria" w:cs="Calibri"/>
          <w:color w:val="00B0F0"/>
          <w:sz w:val="18"/>
          <w:szCs w:val="18"/>
        </w:rPr>
        <w:tab/>
        <w:t>Description</w:t>
      </w:r>
    </w:p>
    <w:p w14:paraId="21FB2DAA" w14:textId="0CCD5EF5" w:rsidR="00B3247B" w:rsidRPr="00B3247B" w:rsidRDefault="00B3247B" w:rsidP="00B3247B">
      <w:pPr>
        <w:spacing w:after="0" w:line="240" w:lineRule="auto"/>
        <w:ind w:left="720"/>
        <w:textAlignment w:val="baseline"/>
        <w:rPr>
          <w:rFonts w:ascii="Cambria" w:eastAsia="Times New Roman" w:hAnsi="Cambria" w:cs="Segoe UI"/>
          <w:sz w:val="18"/>
          <w:szCs w:val="18"/>
        </w:rPr>
      </w:pP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E78.0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PURE HYPERCHOLESTEROLEMIA </w:t>
      </w:r>
    </w:p>
    <w:p w14:paraId="0C718268" w14:textId="7B7900C7" w:rsidR="00B3247B" w:rsidRP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  <w:sz w:val="18"/>
          <w:szCs w:val="18"/>
        </w:rPr>
      </w:pPr>
      <w:r w:rsidRPr="00B3247B">
        <w:rPr>
          <w:rFonts w:ascii="Cambria" w:eastAsia="Times New Roman" w:hAnsi="Cambria" w:cs="Segoe UI"/>
          <w:sz w:val="18"/>
          <w:szCs w:val="18"/>
        </w:rPr>
        <w:tab/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E78.1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PURE HYPERGLYCERIDEMIA </w:t>
      </w:r>
    </w:p>
    <w:p w14:paraId="33E7AA24" w14:textId="59770543" w:rsidR="00B3247B" w:rsidRP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  <w:sz w:val="24"/>
          <w:szCs w:val="24"/>
        </w:rPr>
      </w:pPr>
      <w:r w:rsidRPr="00B3247B">
        <w:rPr>
          <w:rFonts w:ascii="Cambria" w:eastAsia="Times New Roman" w:hAnsi="Cambria" w:cs="Segoe UI"/>
          <w:color w:val="00B0F0"/>
          <w:sz w:val="18"/>
          <w:szCs w:val="18"/>
        </w:rPr>
        <w:tab/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E78.01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FAMILIAL HYPERCHOLESTEROLEMIA </w:t>
      </w:r>
    </w:p>
    <w:p w14:paraId="4CDE9748" w14:textId="125E8D76" w:rsidR="00B3247B" w:rsidRP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  <w:sz w:val="24"/>
          <w:szCs w:val="24"/>
        </w:rPr>
      </w:pPr>
      <w:r w:rsidRPr="00B3247B">
        <w:rPr>
          <w:rFonts w:ascii="Cambria" w:eastAsia="Times New Roman" w:hAnsi="Cambria" w:cs="Segoe UI"/>
          <w:sz w:val="18"/>
          <w:szCs w:val="18"/>
        </w:rPr>
        <w:tab/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Z83.438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FAMILY HISTORY OF OTHER DISORDER OF LIPOPROTEIN METABOLISM &amp; OTHER LIPIDEMIA </w:t>
      </w:r>
    </w:p>
    <w:p w14:paraId="6C1FC8C1" w14:textId="1CDB952F" w:rsidR="00B3247B" w:rsidRPr="00B3247B" w:rsidRDefault="00B3247B" w:rsidP="00B3247B">
      <w:pPr>
        <w:pBdr>
          <w:bottom w:val="single" w:sz="12" w:space="1" w:color="auto"/>
        </w:pBd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40026C4" w14:textId="77777777" w:rsidR="00B3247B" w:rsidRPr="00B3247B" w:rsidRDefault="00B3247B" w:rsidP="00B3247B">
      <w:pPr>
        <w:spacing w:after="0" w:line="240" w:lineRule="auto"/>
        <w:ind w:firstLine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   </w:t>
      </w:r>
    </w:p>
    <w:p w14:paraId="3D28A791" w14:textId="7235875A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This letter is regarding my patient and your subscriber, referenced above, to request full coverage of medically indicated genetic testing for </w:t>
      </w:r>
      <w:r w:rsidRPr="00B3247B">
        <w:rPr>
          <w:rFonts w:ascii="Cambria" w:eastAsia="Times New Roman" w:hAnsi="Cambria" w:cs="Segoe UI"/>
          <w:b/>
          <w:bCs/>
        </w:rPr>
        <w:t xml:space="preserve">familial chylomicronemia syndrome (FCS) </w:t>
      </w:r>
      <w:r w:rsidRPr="00B3247B">
        <w:rPr>
          <w:rFonts w:ascii="Cambria" w:eastAsia="Times New Roman" w:hAnsi="Cambria" w:cs="Segoe UI"/>
        </w:rPr>
        <w:t>to be performed by Ambry Genetics Corporation.  </w:t>
      </w:r>
    </w:p>
    <w:p w14:paraId="5BB13B9E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libri" w:eastAsia="Times New Roman" w:hAnsi="Calibri" w:cs="Calibri"/>
        </w:rPr>
        <w:t> </w:t>
      </w:r>
    </w:p>
    <w:p w14:paraId="3949035A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Familial chylomicronemia syndrome (FCS) is an autosomal recessive disorder that is characterized by extremely elevated triglycerides, recurrent acute pancreatitis, and eruptive xanthomas.</w:t>
      </w:r>
      <w:r w:rsidRPr="00B3247B">
        <w:rPr>
          <w:rFonts w:ascii="Cambria" w:eastAsia="Times New Roman" w:hAnsi="Cambria" w:cs="Segoe UI"/>
          <w:sz w:val="17"/>
          <w:szCs w:val="17"/>
          <w:vertAlign w:val="superscript"/>
        </w:rPr>
        <w:t>1-4</w:t>
      </w:r>
      <w:r w:rsidRPr="00B3247B">
        <w:rPr>
          <w:rFonts w:ascii="Cambria" w:eastAsia="Times New Roman" w:hAnsi="Cambria" w:cs="Segoe UI"/>
        </w:rPr>
        <w:t xml:space="preserve"> FCS may be mis-diagnosed or underdiagnosed, as elevated triglycerides can have different causes.   Some individuals with FCS </w:t>
      </w:r>
      <w:proofErr w:type="gramStart"/>
      <w:r w:rsidRPr="00B3247B">
        <w:rPr>
          <w:rFonts w:ascii="Cambria" w:eastAsia="Times New Roman" w:hAnsi="Cambria" w:cs="Segoe UI"/>
        </w:rPr>
        <w:t>present</w:t>
      </w:r>
      <w:proofErr w:type="gramEnd"/>
      <w:r w:rsidRPr="00B3247B">
        <w:rPr>
          <w:rFonts w:ascii="Cambria" w:eastAsia="Times New Roman" w:hAnsi="Cambria" w:cs="Segoe UI"/>
        </w:rPr>
        <w:t xml:space="preserve"> in childhood, while others are not identified until adulthood.   </w:t>
      </w:r>
    </w:p>
    <w:p w14:paraId="41125D33" w14:textId="4B6B9B95" w:rsid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</w:rPr>
        <w:t xml:space="preserve">The genetic etiology of FCS is established and is mostly associated with mutations in genes involved in the hydrolysis of chylomicrons and VLDL-containing triglycerides.  </w:t>
      </w:r>
      <w:r w:rsidRPr="00B3247B">
        <w:rPr>
          <w:rFonts w:ascii="Cambria" w:eastAsia="Times New Roman" w:hAnsi="Cambria" w:cs="Segoe UI"/>
          <w:b/>
          <w:bCs/>
        </w:rPr>
        <w:t xml:space="preserve">Significant aspects of my patient’s personal and/or family medical history that suggest FCS include: </w:t>
      </w:r>
      <w:r w:rsidRPr="00B3247B">
        <w:rPr>
          <w:rFonts w:ascii="Cambria" w:eastAsia="Times New Roman" w:hAnsi="Cambria" w:cs="Segoe UI"/>
          <w:color w:val="00B0F0"/>
        </w:rPr>
        <w:t>[check all that apply] </w:t>
      </w:r>
    </w:p>
    <w:p w14:paraId="7A3C7D6A" w14:textId="77777777" w:rsidR="00F245C5" w:rsidRPr="00B3247B" w:rsidRDefault="00F245C5" w:rsidP="00F245C5">
      <w:pPr>
        <w:spacing w:after="0" w:line="240" w:lineRule="auto"/>
        <w:textAlignment w:val="baseline"/>
        <w:rPr>
          <w:rFonts w:ascii="Segoe UI" w:eastAsia="Times New Roman" w:hAnsi="Segoe UI" w:cs="Segoe UI"/>
          <w:color w:val="00B0F0"/>
          <w:sz w:val="18"/>
          <w:szCs w:val="18"/>
        </w:rPr>
      </w:pPr>
    </w:p>
    <w:p w14:paraId="788E4EA2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Recurrent acute pancreatitis </w:t>
      </w:r>
    </w:p>
    <w:p w14:paraId="066B8648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Very elevated blood triglyceride levels (&gt;10mmol/L or 886 mg/dL for 3 consecutive blood analyses, or &gt;20mmol/L or 1772 mg/dL at least once) </w:t>
      </w:r>
    </w:p>
    <w:p w14:paraId="660B1B25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No response to hypolipidemic treatment </w:t>
      </w:r>
    </w:p>
    <w:p w14:paraId="531D53F9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Chylomicron accumulation in blood </w:t>
      </w:r>
    </w:p>
    <w:p w14:paraId="272B6920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Eruptive xanthomas </w:t>
      </w:r>
    </w:p>
    <w:p w14:paraId="476CB928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Severe abdominal pain </w:t>
      </w:r>
    </w:p>
    <w:p w14:paraId="310806C7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 xml:space="preserve">Lipemia </w:t>
      </w:r>
      <w:proofErr w:type="spellStart"/>
      <w:r w:rsidRPr="00B3247B">
        <w:rPr>
          <w:rFonts w:ascii="Cambria" w:eastAsia="Times New Roman" w:hAnsi="Cambria" w:cs="Segoe UI"/>
          <w:color w:val="00B0F0"/>
        </w:rPr>
        <w:t>retinalis</w:t>
      </w:r>
      <w:proofErr w:type="spellEnd"/>
      <w:r w:rsidRPr="00B3247B">
        <w:rPr>
          <w:rFonts w:ascii="Cambria" w:eastAsia="Times New Roman" w:hAnsi="Cambria" w:cs="Segoe UI"/>
          <w:color w:val="00B0F0"/>
        </w:rPr>
        <w:t> </w:t>
      </w:r>
    </w:p>
    <w:p w14:paraId="1BF8D291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Hepatosplenomegaly </w:t>
      </w:r>
    </w:p>
    <w:p w14:paraId="33B2C916" w14:textId="77777777" w:rsidR="00B3247B" w:rsidRPr="00B3247B" w:rsidRDefault="00B3247B" w:rsidP="00A72D41">
      <w:pPr>
        <w:numPr>
          <w:ilvl w:val="0"/>
          <w:numId w:val="11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Other: __________________________________________________________________________________ </w:t>
      </w:r>
    </w:p>
    <w:p w14:paraId="6CD9249C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615E69C8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The clinical utility of genetic testing for FCS has been recognized and is supported as standard of care</w:t>
      </w:r>
      <w:r w:rsidRPr="00B3247B">
        <w:rPr>
          <w:rFonts w:ascii="Cambria" w:eastAsia="Times New Roman" w:hAnsi="Cambria" w:cs="Segoe UI"/>
        </w:rPr>
        <w:t>.</w:t>
      </w:r>
      <w:r w:rsidRPr="00B3247B">
        <w:rPr>
          <w:rFonts w:ascii="Cambria" w:eastAsia="Times New Roman" w:hAnsi="Cambria" w:cs="Segoe UI"/>
          <w:sz w:val="17"/>
          <w:szCs w:val="17"/>
          <w:vertAlign w:val="superscript"/>
        </w:rPr>
        <w:t>1,7,8,9</w:t>
      </w:r>
      <w:r w:rsidRPr="00B3247B">
        <w:rPr>
          <w:rFonts w:ascii="Cambria" w:eastAsia="Times New Roman" w:hAnsi="Cambria" w:cs="Segoe UI"/>
          <w:b/>
          <w:bCs/>
        </w:rPr>
        <w:t>   A positive result on this genetic testing would provide a definitive cause for this patient’s FCS and could impact medical management, screening, and prevention of potential complications of this disease.</w:t>
      </w:r>
      <w:r w:rsidRPr="00B3247B">
        <w:rPr>
          <w:rFonts w:ascii="Cambria" w:eastAsia="Times New Roman" w:hAnsi="Cambria" w:cs="Segoe UI"/>
          <w:sz w:val="17"/>
          <w:szCs w:val="17"/>
          <w:vertAlign w:val="superscript"/>
        </w:rPr>
        <w:t>2, 4,5,6,9</w:t>
      </w:r>
      <w:r w:rsidRPr="00B3247B">
        <w:rPr>
          <w:rFonts w:ascii="Cambria" w:eastAsia="Times New Roman" w:hAnsi="Cambria" w:cs="Segoe UI"/>
          <w:b/>
          <w:bCs/>
        </w:rPr>
        <w:t xml:space="preserve"> </w:t>
      </w:r>
      <w:r w:rsidRPr="00B3247B">
        <w:rPr>
          <w:rFonts w:ascii="Cambria" w:eastAsia="Times New Roman" w:hAnsi="Cambria" w:cs="Segoe UI"/>
        </w:rPr>
        <w:t>Examples of this include: </w:t>
      </w:r>
    </w:p>
    <w:p w14:paraId="7E0D1A42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57B558CD" w14:textId="77777777" w:rsidR="00B3247B" w:rsidRPr="00F245C5" w:rsidRDefault="00B3247B" w:rsidP="00A72D41">
      <w:pPr>
        <w:pStyle w:val="ListParagraph"/>
        <w:numPr>
          <w:ilvl w:val="0"/>
          <w:numId w:val="115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 xml:space="preserve">Recommending lifelong very </w:t>
      </w:r>
      <w:proofErr w:type="gramStart"/>
      <w:r w:rsidRPr="00F245C5">
        <w:rPr>
          <w:rFonts w:ascii="Cambria" w:eastAsia="Times New Roman" w:hAnsi="Cambria" w:cs="Segoe UI"/>
        </w:rPr>
        <w:t>low fat</w:t>
      </w:r>
      <w:proofErr w:type="gramEnd"/>
      <w:r w:rsidRPr="00F245C5">
        <w:rPr>
          <w:rFonts w:ascii="Cambria" w:eastAsia="Times New Roman" w:hAnsi="Cambria" w:cs="Segoe UI"/>
        </w:rPr>
        <w:t xml:space="preserve"> diet </w:t>
      </w:r>
    </w:p>
    <w:p w14:paraId="631C9001" w14:textId="77777777" w:rsidR="00B3247B" w:rsidRDefault="00B3247B" w:rsidP="00A72D41">
      <w:pPr>
        <w:pStyle w:val="ListParagraph"/>
        <w:numPr>
          <w:ilvl w:val="0"/>
          <w:numId w:val="115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Recommending use of medium-chain triglycerides in cooking </w:t>
      </w:r>
    </w:p>
    <w:p w14:paraId="1D5B77B0" w14:textId="77777777" w:rsidR="00B57544" w:rsidRDefault="00B57544" w:rsidP="00B57544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</w:p>
    <w:p w14:paraId="31E31AB9" w14:textId="77777777" w:rsidR="00B57544" w:rsidRPr="00B57544" w:rsidRDefault="00B57544" w:rsidP="00B57544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</w:p>
    <w:p w14:paraId="59CD66E8" w14:textId="77777777" w:rsidR="00B3247B" w:rsidRPr="00F245C5" w:rsidRDefault="00B3247B" w:rsidP="00A72D41">
      <w:pPr>
        <w:pStyle w:val="ListParagraph"/>
        <w:numPr>
          <w:ilvl w:val="0"/>
          <w:numId w:val="115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Individuals with FCS-causing mutations need to avoid agents known to increase endogenous triglyceride and/or chylomicron concentration, such as oral estrogens, diuretics, glucocorticoids, SSRIs, beta-blockers, alcohol, and fish-oil supplements.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2</w:t>
      </w:r>
      <w:r w:rsidRPr="00F245C5">
        <w:rPr>
          <w:rFonts w:ascii="Cambria" w:eastAsia="Times New Roman" w:hAnsi="Cambria" w:cs="Segoe UI"/>
          <w:sz w:val="17"/>
          <w:szCs w:val="17"/>
        </w:rPr>
        <w:t> </w:t>
      </w:r>
    </w:p>
    <w:p w14:paraId="37F1A561" w14:textId="77777777" w:rsidR="00B3247B" w:rsidRPr="00F245C5" w:rsidRDefault="00B3247B" w:rsidP="00A72D41">
      <w:pPr>
        <w:pStyle w:val="ListParagraph"/>
        <w:numPr>
          <w:ilvl w:val="0"/>
          <w:numId w:val="115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Typical lipid-lowering drugs, such fibrates, statins, and niacin, are not as effective in FCS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2,5</w:t>
      </w:r>
      <w:r w:rsidRPr="00F245C5">
        <w:rPr>
          <w:rFonts w:ascii="Cambria" w:eastAsia="Times New Roman" w:hAnsi="Cambria" w:cs="Segoe UI"/>
        </w:rPr>
        <w:t>; a molecular diagnosis would avoid using these as first-line pharmacotherapy and alternative combination therapy may be recommended.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5</w:t>
      </w:r>
      <w:r w:rsidRPr="00F245C5">
        <w:rPr>
          <w:rFonts w:ascii="Cambria" w:eastAsia="Times New Roman" w:hAnsi="Cambria" w:cs="Segoe UI"/>
        </w:rPr>
        <w:t>     </w:t>
      </w:r>
    </w:p>
    <w:p w14:paraId="30E31906" w14:textId="77777777" w:rsidR="00F245C5" w:rsidRPr="00F245C5" w:rsidRDefault="00B3247B" w:rsidP="00A72D41">
      <w:pPr>
        <w:pStyle w:val="ListParagraph"/>
        <w:numPr>
          <w:ilvl w:val="0"/>
          <w:numId w:val="115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 xml:space="preserve">Individuals with a molecular FCS diagnosis may be eligible for alternative therapies (such as </w:t>
      </w:r>
      <w:proofErr w:type="spellStart"/>
      <w:r w:rsidRPr="00F245C5">
        <w:rPr>
          <w:rFonts w:ascii="Cambria" w:eastAsia="Times New Roman" w:hAnsi="Cambria" w:cs="Segoe UI"/>
        </w:rPr>
        <w:t>ApoC</w:t>
      </w:r>
      <w:proofErr w:type="spellEnd"/>
      <w:r w:rsidRPr="00F245C5">
        <w:rPr>
          <w:rFonts w:ascii="Cambria" w:eastAsia="Times New Roman" w:hAnsi="Cambria" w:cs="Segoe UI"/>
        </w:rPr>
        <w:t>-III inhibitors).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5,6</w:t>
      </w:r>
      <w:r w:rsidRPr="00F245C5">
        <w:rPr>
          <w:rFonts w:ascii="Cambria" w:eastAsia="Times New Roman" w:hAnsi="Cambria" w:cs="Segoe UI"/>
          <w:sz w:val="17"/>
          <w:szCs w:val="17"/>
        </w:rPr>
        <w:t> </w:t>
      </w:r>
    </w:p>
    <w:p w14:paraId="70075A0D" w14:textId="56F284F2" w:rsidR="00B3247B" w:rsidRPr="00F245C5" w:rsidRDefault="00B3247B" w:rsidP="00A72D41">
      <w:pPr>
        <w:pStyle w:val="ListParagraph"/>
        <w:numPr>
          <w:ilvl w:val="0"/>
          <w:numId w:val="115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Patients with FCS should be monitored closely for pancreatitis and the development of complications from acute events.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2</w:t>
      </w:r>
    </w:p>
    <w:p w14:paraId="65169DF4" w14:textId="77777777" w:rsidR="00B3247B" w:rsidRPr="00B3247B" w:rsidRDefault="00B3247B" w:rsidP="00B3247B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2FB695F3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Specifically for this patient, the results of the genetic test are necessary to consider in the following areas: </w:t>
      </w:r>
      <w:r w:rsidRPr="00B3247B">
        <w:rPr>
          <w:rFonts w:ascii="Cambria" w:eastAsia="Times New Roman" w:hAnsi="Cambria" w:cs="Segoe UI"/>
          <w:color w:val="00B0F0"/>
        </w:rPr>
        <w:t>[check all that apply] </w:t>
      </w:r>
    </w:p>
    <w:p w14:paraId="0AA34BDE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35A24D27" w14:textId="77777777" w:rsidR="00B3247B" w:rsidRPr="00B3247B" w:rsidRDefault="00B3247B" w:rsidP="00A72D41">
      <w:pPr>
        <w:numPr>
          <w:ilvl w:val="0"/>
          <w:numId w:val="116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could allow immediate management and treatment to anticipate and control common clinical findings based on the results of the testing </w:t>
      </w:r>
    </w:p>
    <w:p w14:paraId="2E76B247" w14:textId="77777777" w:rsidR="00B3247B" w:rsidRPr="00B3247B" w:rsidRDefault="00B3247B" w:rsidP="00A72D41">
      <w:pPr>
        <w:numPr>
          <w:ilvl w:val="0"/>
          <w:numId w:val="116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could inform lifestyle modifications for the patient </w:t>
      </w:r>
    </w:p>
    <w:p w14:paraId="1AA210DB" w14:textId="77777777" w:rsidR="00B3247B" w:rsidRPr="00B3247B" w:rsidRDefault="00B3247B" w:rsidP="00A72D41">
      <w:pPr>
        <w:numPr>
          <w:ilvl w:val="0"/>
          <w:numId w:val="116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could assist in long-term management and monitoring of suspected disease progression based on the results of the testing </w:t>
      </w:r>
    </w:p>
    <w:p w14:paraId="566D6AD6" w14:textId="77777777" w:rsidR="00B3247B" w:rsidRPr="00B3247B" w:rsidRDefault="00B3247B" w:rsidP="00A72D41">
      <w:pPr>
        <w:numPr>
          <w:ilvl w:val="0"/>
          <w:numId w:val="116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will lead to changes in diagnostic procedures such that more potentially invasive alternative procedures could be avoided, reducing unnecessary tests and cost  </w:t>
      </w:r>
    </w:p>
    <w:p w14:paraId="3EA8864F" w14:textId="77777777" w:rsidR="00B3247B" w:rsidRPr="00B3247B" w:rsidRDefault="00B3247B" w:rsidP="00A72D41">
      <w:pPr>
        <w:numPr>
          <w:ilvl w:val="0"/>
          <w:numId w:val="116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will lead to informed decisions for other family members with similar conditions, or that may be at risk for similar conditions </w:t>
      </w:r>
    </w:p>
    <w:p w14:paraId="6235541F" w14:textId="77777777" w:rsidR="00B3247B" w:rsidRPr="00B3247B" w:rsidRDefault="00B3247B" w:rsidP="00A72D41">
      <w:pPr>
        <w:numPr>
          <w:ilvl w:val="0"/>
          <w:numId w:val="116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  <w:sz w:val="24"/>
          <w:szCs w:val="24"/>
        </w:rPr>
        <w:t>Genetic testing could alleviate the need for long-term clinical surveillance in individuals who test negative for any disease-causing variants found in my patient</w:t>
      </w:r>
      <w:r w:rsidRPr="00B3247B">
        <w:rPr>
          <w:rFonts w:ascii="Cambria" w:eastAsia="Times New Roman" w:hAnsi="Cambria" w:cs="Segoe UI"/>
          <w:color w:val="00B0F0"/>
        </w:rPr>
        <w:t>  </w:t>
      </w:r>
    </w:p>
    <w:p w14:paraId="32E917C8" w14:textId="77777777" w:rsidR="00B3247B" w:rsidRPr="00B3247B" w:rsidRDefault="00B3247B" w:rsidP="00A72D41">
      <w:pPr>
        <w:numPr>
          <w:ilvl w:val="0"/>
          <w:numId w:val="116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Other: _______________________________________________________________________________________ </w:t>
      </w:r>
    </w:p>
    <w:p w14:paraId="33422A6D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0C62581D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Due to the risks associated with these mutations and the interventions available to reduce these risks, </w:t>
      </w:r>
      <w:r w:rsidRPr="00B3247B">
        <w:rPr>
          <w:rFonts w:ascii="Cambria" w:eastAsia="Times New Roman" w:hAnsi="Cambria" w:cs="Segoe UI"/>
          <w:b/>
          <w:bCs/>
        </w:rPr>
        <w:t xml:space="preserve">I am requesting coverage for this testing as medically necessary care and affirm that my patient has provided informed consent for genetic testing. </w:t>
      </w:r>
      <w:r w:rsidRPr="00B3247B">
        <w:rPr>
          <w:rFonts w:ascii="Cambria" w:eastAsia="Times New Roman" w:hAnsi="Cambria" w:cs="Segoe UI"/>
        </w:rPr>
        <w:t>I recommend that you support this request for coverage of diagnostic genetic testing for familial chylomicronemia syndrome in my patient.  </w:t>
      </w:r>
    </w:p>
    <w:p w14:paraId="33DB1313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76777EC4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Thank you for your time and please don’t hesitate to contact me with any questions.  </w:t>
      </w:r>
    </w:p>
    <w:p w14:paraId="61470E4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7DFAA09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Sincerely, </w:t>
      </w:r>
    </w:p>
    <w:p w14:paraId="12EEA30F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67F23BE8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52F11BBB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>Ordering Clinician Name</w:t>
      </w:r>
      <w:r w:rsidRPr="00B3247B">
        <w:rPr>
          <w:rFonts w:ascii="Cambria" w:eastAsia="Times New Roman" w:hAnsi="Cambria" w:cs="Segoe UI"/>
        </w:rPr>
        <w:t xml:space="preserve"> (Signature Provided on Test Requisition Form)  </w:t>
      </w:r>
    </w:p>
    <w:p w14:paraId="06C1B6B8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(MD/DO, Clinical Nurse Specialist, Nurse-Midwives, Nurse Practitioner, Physician Assistant, Genetic Counselor*)  </w:t>
      </w:r>
    </w:p>
    <w:p w14:paraId="508B65E4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0ED0CCC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*Authorized clinician requirements vary by state  </w:t>
      </w:r>
    </w:p>
    <w:p w14:paraId="7B4B8AF5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1C1ED576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Test Details</w:t>
      </w:r>
      <w:r w:rsidRPr="00B3247B">
        <w:rPr>
          <w:rFonts w:ascii="Cambria" w:eastAsia="Times New Roman" w:hAnsi="Cambria" w:cs="Segoe UI"/>
        </w:rPr>
        <w:t> </w:t>
      </w:r>
    </w:p>
    <w:p w14:paraId="65EFDE77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3E3669D3" w14:textId="07692CAD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Test Name:</w:t>
      </w:r>
      <w:r w:rsidR="00CB4DE3">
        <w:rPr>
          <w:rFonts w:ascii="Cambria" w:eastAsia="Times New Roman" w:hAnsi="Cambria" w:cs="Segoe UI"/>
        </w:rPr>
        <w:tab/>
      </w:r>
      <w:proofErr w:type="spellStart"/>
      <w:r w:rsidRPr="00B3247B">
        <w:rPr>
          <w:rFonts w:ascii="Cambria" w:eastAsia="Times New Roman" w:hAnsi="Cambria" w:cs="Segoe UI"/>
        </w:rPr>
        <w:t>FCSNext</w:t>
      </w:r>
      <w:proofErr w:type="spellEnd"/>
      <w:r w:rsidRPr="00B3247B">
        <w:rPr>
          <w:rFonts w:ascii="Cambria" w:eastAsia="Times New Roman" w:hAnsi="Cambria" w:cs="Segoe UI"/>
        </w:rPr>
        <w:t> </w:t>
      </w:r>
    </w:p>
    <w:p w14:paraId="4886A163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6FEA35B8" w14:textId="68E3A730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CPT codes: </w:t>
      </w:r>
      <w:r w:rsidR="00CB4DE3">
        <w:rPr>
          <w:rFonts w:ascii="Cambria" w:eastAsia="Times New Roman" w:hAnsi="Cambria" w:cs="Segoe UI"/>
        </w:rPr>
        <w:tab/>
      </w:r>
      <w:r w:rsidRPr="00B3247B">
        <w:rPr>
          <w:rFonts w:ascii="Cambria" w:eastAsia="Times New Roman" w:hAnsi="Cambria" w:cs="Segoe UI"/>
        </w:rPr>
        <w:t>81479 </w:t>
      </w:r>
    </w:p>
    <w:p w14:paraId="071BBD1F" w14:textId="77777777" w:rsidR="00B3247B" w:rsidRPr="00B3247B" w:rsidRDefault="00B3247B" w:rsidP="00B3247B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78CFF12F" w14:textId="77777777" w:rsidR="00026BA8" w:rsidRDefault="00026BA8" w:rsidP="00B3247B">
      <w:pPr>
        <w:spacing w:after="0" w:line="240" w:lineRule="auto"/>
        <w:ind w:left="1440" w:hanging="1440"/>
        <w:textAlignment w:val="baseline"/>
        <w:rPr>
          <w:rFonts w:ascii="Cambria" w:eastAsia="Times New Roman" w:hAnsi="Cambria" w:cs="Segoe UI"/>
        </w:rPr>
      </w:pPr>
    </w:p>
    <w:p w14:paraId="1B85DE48" w14:textId="77777777" w:rsidR="00026BA8" w:rsidRDefault="00026BA8" w:rsidP="00B3247B">
      <w:pPr>
        <w:spacing w:after="0" w:line="240" w:lineRule="auto"/>
        <w:ind w:left="1440" w:hanging="1440"/>
        <w:textAlignment w:val="baseline"/>
        <w:rPr>
          <w:rFonts w:ascii="Cambria" w:eastAsia="Times New Roman" w:hAnsi="Cambria" w:cs="Segoe UI"/>
        </w:rPr>
      </w:pPr>
    </w:p>
    <w:p w14:paraId="06BF9CE8" w14:textId="77777777" w:rsidR="00613C2D" w:rsidRDefault="00613C2D" w:rsidP="00B3247B">
      <w:pPr>
        <w:spacing w:after="0" w:line="240" w:lineRule="auto"/>
        <w:ind w:left="1440" w:hanging="1440"/>
        <w:textAlignment w:val="baseline"/>
        <w:rPr>
          <w:rFonts w:ascii="Cambria" w:eastAsia="Times New Roman" w:hAnsi="Cambria" w:cs="Segoe UI"/>
        </w:rPr>
      </w:pPr>
    </w:p>
    <w:p w14:paraId="4E3309AE" w14:textId="26FB0370" w:rsidR="00B3247B" w:rsidRPr="00B3247B" w:rsidRDefault="00B3247B" w:rsidP="00B3247B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Laboratory: </w:t>
      </w:r>
      <w:r w:rsidR="00CB4DE3">
        <w:rPr>
          <w:rFonts w:ascii="Cambria" w:eastAsia="Times New Roman" w:hAnsi="Cambria" w:cs="Segoe UI"/>
        </w:rPr>
        <w:tab/>
      </w:r>
      <w:r w:rsidRPr="00B3247B">
        <w:rPr>
          <w:rFonts w:ascii="Cambria" w:eastAsia="Times New Roman" w:hAnsi="Cambria" w:cs="Segoe UI"/>
        </w:rPr>
        <w:t>Ambry Genetics Corporation (TIN 33-0892453 / NPI 1861568784), a CAP-accredited and CLIA-certified laboratory located at 7 Argonaut, Aliso Viejo, CA 92656 </w:t>
      </w:r>
    </w:p>
    <w:p w14:paraId="170733A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393F391F" w14:textId="77777777" w:rsidR="00B57544" w:rsidRDefault="00B57544" w:rsidP="00B3247B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0A544BAF" w14:textId="7084FF33" w:rsidR="00B3247B" w:rsidRPr="00CB4DE3" w:rsidRDefault="00B3247B" w:rsidP="00B3247B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  <w:r w:rsidRPr="00B3247B">
        <w:rPr>
          <w:rFonts w:ascii="Cambria" w:eastAsia="Times New Roman" w:hAnsi="Cambria" w:cs="Segoe UI"/>
          <w:b/>
          <w:bCs/>
        </w:rPr>
        <w:t>References</w:t>
      </w:r>
    </w:p>
    <w:p w14:paraId="75F4133B" w14:textId="77777777" w:rsidR="00CB4DE3" w:rsidRPr="00B3247B" w:rsidRDefault="00CB4DE3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EE821C9" w14:textId="77777777" w:rsidR="00B3247B" w:rsidRPr="00B3247B" w:rsidRDefault="00B3247B" w:rsidP="00A72D41">
      <w:pPr>
        <w:numPr>
          <w:ilvl w:val="0"/>
          <w:numId w:val="105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Ramasamy I.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Update on the molecular biology of dyslipidemias.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0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Clin Chim Acta.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2016 Feb 15;454:143-85.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0A64F21E" w14:textId="77777777" w:rsidR="00B3247B" w:rsidRPr="00B3247B" w:rsidRDefault="00B3247B" w:rsidP="00A72D41">
      <w:pPr>
        <w:numPr>
          <w:ilvl w:val="0"/>
          <w:numId w:val="106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Brahm AJ and Hegele RA. </w:t>
      </w:r>
      <w:proofErr w:type="spellStart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Chylomicronaemia</w:t>
      </w:r>
      <w:proofErr w:type="spellEnd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--current diagnosis and future therapies.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1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Nat Rev Endocrinol.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2015 Jun;11(6):352-62. 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5DA9110F" w14:textId="77777777" w:rsidR="00B3247B" w:rsidRPr="00B3247B" w:rsidRDefault="00B3247B" w:rsidP="00A72D41">
      <w:pPr>
        <w:numPr>
          <w:ilvl w:val="0"/>
          <w:numId w:val="107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Hegele RA, et al. 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Plasma lipoproteins: genetic influences and clinical implications.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2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Nat Rev Genet.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2009 Feb;10(2):109-21. 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A005413" w14:textId="77777777" w:rsidR="00B3247B" w:rsidRPr="00B3247B" w:rsidRDefault="00B3247B" w:rsidP="00A72D41">
      <w:pPr>
        <w:numPr>
          <w:ilvl w:val="0"/>
          <w:numId w:val="108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Hegele RA,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 xml:space="preserve">The polygenic nature of </w:t>
      </w:r>
      <w:proofErr w:type="spellStart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hypertriglyceridaemia</w:t>
      </w:r>
      <w:proofErr w:type="spellEnd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: implications for definition, diagnosis, and management.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3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Lancet Diabetes Endocrinol.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2014 Aug;2(8):655-66.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9A63EC2" w14:textId="77777777" w:rsidR="00B3247B" w:rsidRPr="00B3247B" w:rsidRDefault="00B3247B" w:rsidP="00A72D41">
      <w:pPr>
        <w:numPr>
          <w:ilvl w:val="0"/>
          <w:numId w:val="109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Chaudhry R,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Pharmacological treatment options for severe hypertriglyceridemia and familial chylomicronemia syndrome.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4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Expert Rev Clin </w:t>
        </w:r>
        <w:proofErr w:type="spellStart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Pharmacol</w:t>
        </w:r>
        <w:proofErr w:type="spellEnd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2018 Jun;11(6):589-598. 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9C27ADC" w14:textId="77777777" w:rsidR="00B3247B" w:rsidRPr="00B3247B" w:rsidRDefault="00B3247B" w:rsidP="00A72D41">
      <w:pPr>
        <w:numPr>
          <w:ilvl w:val="0"/>
          <w:numId w:val="110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Gaudet D,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Targeting APOC3 in the familial chylomicronemia syndrome.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5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N Engl J Med.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2014 Dec 4;371(23):2200-6.</w:t>
      </w:r>
      <w:r w:rsidRPr="00B3247B">
        <w:rPr>
          <w:rFonts w:ascii="Cambria" w:eastAsia="Times New Roman" w:hAnsi="Cambria" w:cs="Segoe UI"/>
          <w:sz w:val="16"/>
          <w:szCs w:val="16"/>
        </w:rPr>
        <w:t>  </w:t>
      </w:r>
    </w:p>
    <w:p w14:paraId="74F0105A" w14:textId="77777777" w:rsidR="00B3247B" w:rsidRPr="00B3247B" w:rsidRDefault="00B3247B" w:rsidP="00A72D41">
      <w:pPr>
        <w:numPr>
          <w:ilvl w:val="0"/>
          <w:numId w:val="111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Stroes E,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Diagnostic algorithm for familial chylomicronemia syndrome.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6" w:tgtFrame="_blank" w:history="1">
        <w:proofErr w:type="spellStart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Atheroscler</w:t>
        </w:r>
        <w:proofErr w:type="spellEnd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 Suppl.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2017 Jan;23:1-7.  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8B04302" w14:textId="77777777" w:rsidR="00B3247B" w:rsidRPr="00B3247B" w:rsidRDefault="00B3247B" w:rsidP="00A72D41">
      <w:pPr>
        <w:numPr>
          <w:ilvl w:val="0"/>
          <w:numId w:val="112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Moulin P,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 xml:space="preserve">Identification and diagnosis of patients with familial </w:t>
      </w:r>
      <w:proofErr w:type="spellStart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chylomicronaemia</w:t>
      </w:r>
      <w:proofErr w:type="spellEnd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 xml:space="preserve"> syndrome (FCS): Expert panel recommendations and proposal of an "FCS score".</w:t>
      </w:r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 </w:t>
      </w:r>
      <w:hyperlink r:id="rId17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Atherosclerosis.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2018 Aug;275:265-272.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5D07765F" w14:textId="77777777" w:rsidR="00B3247B" w:rsidRPr="00B3247B" w:rsidRDefault="00B3247B" w:rsidP="00A72D41">
      <w:pPr>
        <w:numPr>
          <w:ilvl w:val="0"/>
          <w:numId w:val="113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proofErr w:type="spellStart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Baass</w:t>
      </w:r>
      <w:proofErr w:type="spellEnd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 A, et al. Familial chylomicronemia syndrome: an under-recognized cause of severe </w:t>
      </w:r>
      <w:proofErr w:type="spellStart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hypertriglyderidaemia</w:t>
      </w:r>
      <w:proofErr w:type="spellEnd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. </w:t>
      </w:r>
      <w:r w:rsidRPr="00B3247B">
        <w:rPr>
          <w:rFonts w:ascii="Cambria" w:eastAsia="Times New Roman" w:hAnsi="Cambria" w:cs="Segoe UI"/>
          <w:sz w:val="16"/>
          <w:szCs w:val="16"/>
        </w:rPr>
        <w:t>J of Internal Medicine, 2020, 287; 340–348. </w:t>
      </w:r>
    </w:p>
    <w:p w14:paraId="032680F3" w14:textId="20F6DC86" w:rsidR="00FA361D" w:rsidRPr="00613C2D" w:rsidRDefault="00FA361D" w:rsidP="00613C2D">
      <w:pPr>
        <w:rPr>
          <w:sz w:val="16"/>
          <w:szCs w:val="16"/>
        </w:rPr>
      </w:pPr>
    </w:p>
    <w:sectPr w:rsidR="00FA361D" w:rsidRPr="00613C2D" w:rsidSect="00DB71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613C2D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613C2D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B038D"/>
    <w:rsid w:val="001006ED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2B38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5F6028"/>
    <w:rsid w:val="00613C2D"/>
    <w:rsid w:val="006374CC"/>
    <w:rsid w:val="006662B8"/>
    <w:rsid w:val="006B06F9"/>
    <w:rsid w:val="006F6D17"/>
    <w:rsid w:val="0070509F"/>
    <w:rsid w:val="007E722F"/>
    <w:rsid w:val="0082296E"/>
    <w:rsid w:val="0085230D"/>
    <w:rsid w:val="00887A59"/>
    <w:rsid w:val="0089610E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C23"/>
    <w:rsid w:val="00A72D41"/>
    <w:rsid w:val="00AA0B28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4266"/>
    <w:rsid w:val="00E60CA1"/>
    <w:rsid w:val="00F139C3"/>
    <w:rsid w:val="00F245C5"/>
    <w:rsid w:val="00F319E0"/>
    <w:rsid w:val="00F408DC"/>
    <w:rsid w:val="00F47002"/>
    <w:rsid w:val="00F51C73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pubmed/2473165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pubmed/19139765" TargetMode="External"/><Relationship Id="rId17" Type="http://schemas.openxmlformats.org/officeDocument/2006/relationships/hyperlink" Target="https://www.ncbi.nlm.nih.gov/pubmed/2998005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ubmed/2799871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pubmed/25732519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cbi.nlm.nih.gov/pubmed/2547069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ncbi.nlm.nih.gov/pubmed/?term=Ramasamy+I%5BAUTHOR%5D+2016+dylipidemia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i.nlm.nih.gov/pubmed/2984281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9B2BA-F44A-4DF0-97F1-47458E666A02}"/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2</cp:revision>
  <dcterms:created xsi:type="dcterms:W3CDTF">2025-10-21T17:43:00Z</dcterms:created>
  <dcterms:modified xsi:type="dcterms:W3CDTF">2025-10-21T17:43:00Z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